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DA" w:rsidRDefault="00622DDA" w:rsidP="00EE691B">
      <w:pPr>
        <w:pStyle w:val="Heading1"/>
        <w:jc w:val="center"/>
      </w:pPr>
      <w:r>
        <w:t>HIST 524</w:t>
      </w:r>
    </w:p>
    <w:p w:rsidR="00622DDA" w:rsidRDefault="00622DDA" w:rsidP="00EE691B">
      <w:pPr>
        <w:pStyle w:val="Heading1"/>
        <w:jc w:val="center"/>
      </w:pPr>
      <w:r>
        <w:t>“Gender Issues in the Ottoman Empire and Turkish Republic”</w:t>
      </w:r>
    </w:p>
    <w:p w:rsidR="00622DDA" w:rsidRDefault="00A62A43" w:rsidP="00EE691B">
      <w:pPr>
        <w:jc w:val="center"/>
        <w:rPr>
          <w:sz w:val="32"/>
          <w:lang w:val="tr-TR"/>
        </w:rPr>
      </w:pPr>
      <w:r>
        <w:rPr>
          <w:sz w:val="32"/>
          <w:lang w:val="tr-TR"/>
        </w:rPr>
        <w:t>Fall</w:t>
      </w:r>
      <w:r w:rsidR="001B0E1A">
        <w:rPr>
          <w:sz w:val="32"/>
          <w:lang w:val="tr-TR"/>
        </w:rPr>
        <w:t xml:space="preserve"> 2022</w:t>
      </w:r>
      <w:r>
        <w:rPr>
          <w:sz w:val="32"/>
          <w:lang w:val="tr-TR"/>
        </w:rPr>
        <w:t>-23</w:t>
      </w:r>
    </w:p>
    <w:p w:rsidR="00622DDA" w:rsidRDefault="00622DDA">
      <w:pPr>
        <w:jc w:val="both"/>
        <w:rPr>
          <w:sz w:val="32"/>
          <w:lang w:val="tr-TR"/>
        </w:rPr>
      </w:pPr>
    </w:p>
    <w:p w:rsidR="00622DDA" w:rsidRDefault="00622DDA" w:rsidP="00EE691B">
      <w:pPr>
        <w:jc w:val="center"/>
        <w:rPr>
          <w:lang w:val="tr-TR"/>
        </w:rPr>
      </w:pPr>
      <w:r>
        <w:rPr>
          <w:lang w:val="tr-TR"/>
        </w:rPr>
        <w:t>Course Coordinator : Selçuk Akşin Somel</w:t>
      </w:r>
    </w:p>
    <w:p w:rsidR="00622DDA" w:rsidRDefault="00622DDA" w:rsidP="00EE691B">
      <w:pPr>
        <w:jc w:val="center"/>
        <w:rPr>
          <w:lang w:val="tr-TR"/>
        </w:rPr>
      </w:pPr>
      <w:r>
        <w:rPr>
          <w:lang w:val="tr-TR"/>
        </w:rPr>
        <w:t>Tel : 9278      E-mail : somel@sabanciuniv.edu</w:t>
      </w:r>
    </w:p>
    <w:p w:rsidR="00622DDA" w:rsidRDefault="00622DDA" w:rsidP="00EE691B">
      <w:pPr>
        <w:jc w:val="center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  </w:t>
      </w:r>
    </w:p>
    <w:p w:rsidR="00622DDA" w:rsidRDefault="00622DDA">
      <w:pPr>
        <w:jc w:val="both"/>
        <w:rPr>
          <w:sz w:val="32"/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b/>
          <w:bCs/>
          <w:lang w:val="tr-TR"/>
        </w:rPr>
        <w:t>Course description</w:t>
      </w:r>
      <w:r>
        <w:rPr>
          <w:lang w:val="tr-TR"/>
        </w:rPr>
        <w:t xml:space="preserve">: This is a graduate survey course on various historical aspects of Ottoman and Republican Turkish women. It aims to provide in-depth knowledge </w:t>
      </w:r>
      <w:r w:rsidR="001B0E1A">
        <w:rPr>
          <w:lang w:val="tr-TR"/>
        </w:rPr>
        <w:t>concerning the following issues</w:t>
      </w:r>
      <w:r>
        <w:rPr>
          <w:lang w:val="tr-TR"/>
        </w:rPr>
        <w:t>: Status of</w:t>
      </w:r>
      <w:r w:rsidR="001B0E1A">
        <w:rPr>
          <w:lang w:val="tr-TR"/>
        </w:rPr>
        <w:t xml:space="preserve"> women according to Islamic law</w:t>
      </w:r>
      <w:r>
        <w:rPr>
          <w:lang w:val="tr-TR"/>
        </w:rPr>
        <w:t>; court women in the Ottoman classic</w:t>
      </w:r>
      <w:r w:rsidR="001B0E1A">
        <w:rPr>
          <w:lang w:val="tr-TR"/>
        </w:rPr>
        <w:t>al period</w:t>
      </w:r>
      <w:r>
        <w:rPr>
          <w:lang w:val="tr-TR"/>
        </w:rPr>
        <w:t xml:space="preserve">; </w:t>
      </w:r>
      <w:r w:rsidR="001B0E1A">
        <w:rPr>
          <w:lang w:val="tr-TR"/>
        </w:rPr>
        <w:t>modernization and gender issues</w:t>
      </w:r>
      <w:r>
        <w:rPr>
          <w:lang w:val="tr-TR"/>
        </w:rPr>
        <w:t>; beginnings of active state involvement in issues s</w:t>
      </w:r>
      <w:r w:rsidR="001B0E1A">
        <w:rPr>
          <w:lang w:val="tr-TR"/>
        </w:rPr>
        <w:t>uch as maternality and abortion</w:t>
      </w:r>
      <w:r>
        <w:rPr>
          <w:lang w:val="tr-TR"/>
        </w:rPr>
        <w:t xml:space="preserve">; </w:t>
      </w:r>
      <w:r w:rsidR="001B0E1A">
        <w:rPr>
          <w:lang w:val="tr-TR"/>
        </w:rPr>
        <w:t>development of female education</w:t>
      </w:r>
      <w:r>
        <w:rPr>
          <w:lang w:val="tr-TR"/>
        </w:rPr>
        <w:t>; growing partic</w:t>
      </w:r>
      <w:r w:rsidR="001B0E1A">
        <w:rPr>
          <w:lang w:val="tr-TR"/>
        </w:rPr>
        <w:t>ipation of women in public life</w:t>
      </w:r>
      <w:r>
        <w:rPr>
          <w:lang w:val="tr-TR"/>
        </w:rPr>
        <w:t>; family life, marriage, and divorce during Ot</w:t>
      </w:r>
      <w:r w:rsidR="001B0E1A">
        <w:rPr>
          <w:lang w:val="tr-TR"/>
        </w:rPr>
        <w:t>toman reform period</w:t>
      </w:r>
      <w:r>
        <w:rPr>
          <w:lang w:val="tr-TR"/>
        </w:rPr>
        <w:t>; Young Ottoman and Young Turk vie</w:t>
      </w:r>
      <w:r w:rsidR="001B0E1A">
        <w:rPr>
          <w:lang w:val="tr-TR"/>
        </w:rPr>
        <w:t>ws on the emancipation of women</w:t>
      </w:r>
      <w:r>
        <w:rPr>
          <w:lang w:val="tr-TR"/>
        </w:rPr>
        <w:t>; female sexualit</w:t>
      </w:r>
      <w:r w:rsidR="001B0E1A">
        <w:rPr>
          <w:lang w:val="tr-TR"/>
        </w:rPr>
        <w:t>y in Ottoman Turkish literature</w:t>
      </w:r>
      <w:r>
        <w:rPr>
          <w:lang w:val="tr-TR"/>
        </w:rPr>
        <w:t xml:space="preserve">; gender issues during the Republican era.  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</w:p>
    <w:p w:rsidR="002339DF" w:rsidRDefault="00622DDA">
      <w:pPr>
        <w:jc w:val="both"/>
        <w:rPr>
          <w:lang w:val="tr-TR"/>
        </w:rPr>
      </w:pPr>
      <w:r>
        <w:rPr>
          <w:b/>
          <w:bCs/>
          <w:lang w:val="tr-TR"/>
        </w:rPr>
        <w:t>Grade assessment :</w:t>
      </w:r>
      <w:r>
        <w:rPr>
          <w:lang w:val="tr-TR"/>
        </w:rPr>
        <w:t xml:space="preserve"> </w:t>
      </w:r>
      <w:r w:rsidR="002339DF">
        <w:rPr>
          <w:lang w:val="tr-TR"/>
        </w:rPr>
        <w:t>1 Research Paper</w:t>
      </w:r>
      <w:r w:rsidR="001E75E8">
        <w:rPr>
          <w:lang w:val="tr-TR"/>
        </w:rPr>
        <w:t xml:space="preserve"> =  50 </w:t>
      </w:r>
    </w:p>
    <w:p w:rsidR="00622DDA" w:rsidRDefault="002339DF">
      <w:pPr>
        <w:jc w:val="both"/>
        <w:rPr>
          <w:lang w:val="tr-TR"/>
        </w:rPr>
      </w:pPr>
      <w:r>
        <w:rPr>
          <w:lang w:val="tr-TR"/>
        </w:rPr>
        <w:t xml:space="preserve">                                  1 Final Exam</w:t>
      </w:r>
      <w:r w:rsidR="001E75E8">
        <w:rPr>
          <w:lang w:val="tr-TR"/>
        </w:rPr>
        <w:t xml:space="preserve"> </w:t>
      </w:r>
      <w:r>
        <w:rPr>
          <w:lang w:val="tr-TR"/>
        </w:rPr>
        <w:t xml:space="preserve">       </w:t>
      </w:r>
      <w:r w:rsidR="001E75E8">
        <w:rPr>
          <w:lang w:val="tr-TR"/>
        </w:rPr>
        <w:t>=</w:t>
      </w:r>
      <w:r>
        <w:rPr>
          <w:lang w:val="tr-TR"/>
        </w:rPr>
        <w:t xml:space="preserve"> 50</w:t>
      </w:r>
      <w:r w:rsidR="00622DDA">
        <w:rPr>
          <w:lang w:val="tr-TR"/>
        </w:rPr>
        <w:t xml:space="preserve"> </w:t>
      </w: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       </w:t>
      </w:r>
    </w:p>
    <w:p w:rsidR="00622DDA" w:rsidRDefault="00622DDA">
      <w:pPr>
        <w:jc w:val="both"/>
        <w:rPr>
          <w:sz w:val="32"/>
          <w:lang w:val="tr-TR"/>
        </w:rPr>
      </w:pPr>
    </w:p>
    <w:p w:rsidR="00622DDA" w:rsidRDefault="00622DDA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>Partici</w:t>
      </w:r>
      <w:r>
        <w:rPr>
          <w:b/>
          <w:bCs/>
        </w:rPr>
        <w:t>pants should choose their paper topics as soon as possible, i.e. within 2 or 3 weeks following the course start. They</w:t>
      </w:r>
      <w:r>
        <w:rPr>
          <w:b/>
          <w:bCs/>
          <w:lang w:val="tr-TR"/>
        </w:rPr>
        <w:t xml:space="preserve"> are also expected to read ahead the required texts assigned for each course week indicated in the syllabus.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szCs w:val="32"/>
        </w:rPr>
      </w:pPr>
    </w:p>
    <w:p w:rsidR="00622DDA" w:rsidRDefault="00622DDA">
      <w:pPr>
        <w:pStyle w:val="Heading2"/>
      </w:pPr>
      <w:r>
        <w:t xml:space="preserve">                                         COURSE SCHEDULE</w:t>
      </w:r>
    </w:p>
    <w:p w:rsidR="00622DDA" w:rsidRDefault="00622DDA">
      <w:pPr>
        <w:jc w:val="both"/>
        <w:rPr>
          <w:szCs w:val="32"/>
        </w:rPr>
      </w:pPr>
    </w:p>
    <w:p w:rsidR="00622DDA" w:rsidRDefault="004D17C5">
      <w:pPr>
        <w:jc w:val="both"/>
        <w:rPr>
          <w:b/>
          <w:bCs/>
          <w:szCs w:val="32"/>
          <w:lang w:val="tr-TR"/>
        </w:rPr>
      </w:pPr>
      <w:r>
        <w:rPr>
          <w:b/>
          <w:bCs/>
          <w:szCs w:val="32"/>
        </w:rPr>
        <w:t xml:space="preserve">Week 1 </w:t>
      </w:r>
      <w:r w:rsidR="00622DDA">
        <w:rPr>
          <w:b/>
          <w:bCs/>
          <w:szCs w:val="32"/>
        </w:rPr>
        <w:t xml:space="preserve">: General introduction. Presentation of the aims and  </w:t>
      </w:r>
      <w:r w:rsidR="00622DDA">
        <w:rPr>
          <w:b/>
          <w:bCs/>
          <w:szCs w:val="32"/>
          <w:lang w:val="tr-TR"/>
        </w:rPr>
        <w:t xml:space="preserve">structure of </w:t>
      </w:r>
      <w:r w:rsidR="006B22AD">
        <w:rPr>
          <w:b/>
          <w:bCs/>
          <w:szCs w:val="32"/>
          <w:lang w:val="tr-TR"/>
        </w:rPr>
        <w:t xml:space="preserve">the course </w:t>
      </w:r>
    </w:p>
    <w:p w:rsidR="006274B3" w:rsidRDefault="006274B3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6274B3">
      <w:pPr>
        <w:pStyle w:val="Index"/>
        <w:suppressLineNumbers w:val="0"/>
        <w:jc w:val="both"/>
        <w:rPr>
          <w:rFonts w:cs="Times New Roman"/>
          <w:lang w:val="tr-TR"/>
        </w:rPr>
      </w:pPr>
      <w:r>
        <w:rPr>
          <w:rFonts w:cs="Times New Roman"/>
          <w:lang w:val="tr-TR"/>
        </w:rPr>
        <w:t xml:space="preserve">Theoretical, conceptual and historical discussion on notions of </w:t>
      </w:r>
      <w:bookmarkStart w:id="0" w:name="_GoBack"/>
      <w:bookmarkEnd w:id="0"/>
      <w:r>
        <w:rPr>
          <w:rFonts w:cs="Times New Roman"/>
          <w:lang w:val="tr-TR"/>
        </w:rPr>
        <w:t>gender and feminism.</w:t>
      </w: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2 </w:t>
      </w:r>
      <w:r w:rsidR="00622DDA">
        <w:rPr>
          <w:b/>
          <w:bCs/>
          <w:lang w:val="tr-TR"/>
        </w:rPr>
        <w:t>:</w:t>
      </w:r>
      <w:r>
        <w:rPr>
          <w:b/>
          <w:bCs/>
          <w:lang w:val="tr-TR"/>
        </w:rPr>
        <w:t xml:space="preserve"> </w:t>
      </w:r>
      <w:r w:rsidR="00622DDA">
        <w:rPr>
          <w:b/>
          <w:bCs/>
          <w:lang w:val="tr-TR"/>
        </w:rPr>
        <w:t>Women according t</w:t>
      </w:r>
      <w:r w:rsidR="006B22AD">
        <w:rPr>
          <w:b/>
          <w:bCs/>
          <w:lang w:val="tr-TR"/>
        </w:rPr>
        <w:t xml:space="preserve">o Islamic doctrine </w:t>
      </w:r>
      <w:r w:rsidR="00622DDA">
        <w:rPr>
          <w:b/>
          <w:bCs/>
          <w:lang w:val="tr-TR"/>
        </w:rPr>
        <w:t xml:space="preserve">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“Women”, from </w:t>
      </w:r>
      <w:r>
        <w:rPr>
          <w:i/>
          <w:iCs/>
          <w:lang w:val="tr-TR"/>
        </w:rPr>
        <w:t>The</w:t>
      </w:r>
      <w:r>
        <w:rPr>
          <w:lang w:val="tr-TR"/>
        </w:rPr>
        <w:t xml:space="preserve"> </w:t>
      </w:r>
      <w:r>
        <w:rPr>
          <w:i/>
          <w:iCs/>
          <w:lang w:val="tr-TR"/>
        </w:rPr>
        <w:t>Korân</w:t>
      </w:r>
      <w:r>
        <w:rPr>
          <w:lang w:val="tr-TR"/>
        </w:rPr>
        <w:t xml:space="preserve"> (Transl. by George Sale) (London: Frederick Warne and Co. Ltd, n.d.), pp 71-96.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Barbara Stowasser : “Gender Issues and Contemporary Quran Interpretation”, in Yvonne Yazbeck Haddad &amp; John L. Esposito (eds.), </w:t>
      </w:r>
      <w:r>
        <w:rPr>
          <w:i/>
          <w:iCs/>
          <w:lang w:val="tr-TR"/>
        </w:rPr>
        <w:t>Islam, Gender, &amp; Social Change</w:t>
      </w:r>
      <w:r>
        <w:rPr>
          <w:lang w:val="tr-TR"/>
        </w:rPr>
        <w:t xml:space="preserve"> (New York; Oxford : Oxford University Press, 1998), 30-44.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Joseph Schacht : </w:t>
      </w:r>
      <w:r>
        <w:rPr>
          <w:i/>
          <w:iCs/>
          <w:lang w:val="tr-TR"/>
        </w:rPr>
        <w:t>An Introduction to Islamic Law</w:t>
      </w:r>
      <w:r>
        <w:rPr>
          <w:lang w:val="tr-TR"/>
        </w:rPr>
        <w:t xml:space="preserve"> (Oxford : At the Clarendon Press, 1964), pp161-168, 175-179.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rFonts w:ascii="Symbol" w:hAnsi="Symbol"/>
          <w:lang w:val="tr-TR"/>
        </w:rPr>
      </w:pPr>
      <w:r>
        <w:rPr>
          <w:lang w:val="tr-TR"/>
        </w:rPr>
        <w:t xml:space="preserve">Judith E.Tucker : </w:t>
      </w:r>
      <w:r>
        <w:rPr>
          <w:i/>
          <w:iCs/>
          <w:lang w:val="tr-TR"/>
        </w:rPr>
        <w:t>In the House of the Law. Gender and Islamic Law in Ottoman Syria and Palestine</w:t>
      </w:r>
      <w:r>
        <w:rPr>
          <w:lang w:val="tr-TR"/>
        </w:rPr>
        <w:t xml:space="preserve"> (Berkeley; Los Angeles; London : University of California Press, 1998), 179-186.     </w:t>
      </w: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3 </w:t>
      </w:r>
      <w:r w:rsidR="00622DDA">
        <w:rPr>
          <w:b/>
          <w:bCs/>
          <w:lang w:val="tr-TR"/>
        </w:rPr>
        <w:t>:</w:t>
      </w:r>
      <w:r>
        <w:rPr>
          <w:b/>
          <w:bCs/>
          <w:lang w:val="tr-TR"/>
        </w:rPr>
        <w:t xml:space="preserve"> </w:t>
      </w:r>
      <w:r w:rsidR="00622DDA">
        <w:rPr>
          <w:b/>
          <w:bCs/>
          <w:lang w:val="tr-TR"/>
        </w:rPr>
        <w:t>Court women in the Ot</w:t>
      </w:r>
      <w:r w:rsidR="006B22AD">
        <w:rPr>
          <w:b/>
          <w:bCs/>
          <w:lang w:val="tr-TR"/>
        </w:rPr>
        <w:t>toman classical period</w:t>
      </w:r>
    </w:p>
    <w:p w:rsidR="00622DDA" w:rsidRDefault="00622DDA">
      <w:pPr>
        <w:pStyle w:val="HTMLPreformatted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DDA" w:rsidRDefault="00CE213D" w:rsidP="00CE213D">
      <w:pPr>
        <w:pStyle w:val="HTMLPreformatted"/>
        <w:ind w:righ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L.Peirce: “Shifting Boundaries</w:t>
      </w:r>
      <w:r w:rsidR="00622DDA">
        <w:rPr>
          <w:rFonts w:ascii="Times New Roman" w:hAnsi="Times New Roman" w:cs="Times New Roman"/>
          <w:sz w:val="24"/>
        </w:rPr>
        <w:t>: Images of Otto</w:t>
      </w:r>
      <w:r w:rsidR="001E75E8">
        <w:rPr>
          <w:rFonts w:ascii="Times New Roman" w:hAnsi="Times New Roman" w:cs="Times New Roman"/>
          <w:sz w:val="24"/>
        </w:rPr>
        <w:t>man Royal Women in the 16th and</w:t>
      </w:r>
      <w:r>
        <w:rPr>
          <w:rFonts w:ascii="Times New Roman" w:hAnsi="Times New Roman" w:cs="Times New Roman"/>
          <w:sz w:val="24"/>
        </w:rPr>
        <w:t xml:space="preserve"> </w:t>
      </w:r>
      <w:r w:rsidR="00622DDA">
        <w:rPr>
          <w:rFonts w:ascii="Times New Roman" w:hAnsi="Times New Roman" w:cs="Times New Roman"/>
          <w:sz w:val="24"/>
        </w:rPr>
        <w:t xml:space="preserve">17th Centuries”, </w:t>
      </w:r>
      <w:r w:rsidR="00622DDA">
        <w:rPr>
          <w:rFonts w:ascii="Times New Roman" w:hAnsi="Times New Roman" w:cs="Times New Roman"/>
          <w:i/>
          <w:iCs/>
          <w:sz w:val="24"/>
        </w:rPr>
        <w:t>Critical Matrix</w:t>
      </w:r>
      <w:r w:rsidR="00622DDA">
        <w:rPr>
          <w:rFonts w:ascii="Times New Roman" w:hAnsi="Times New Roman" w:cs="Times New Roman"/>
          <w:sz w:val="24"/>
        </w:rPr>
        <w:t xml:space="preserve"> 4, Fall/Winter 1988, 43-82.</w:t>
      </w:r>
    </w:p>
    <w:p w:rsidR="00622DDA" w:rsidRDefault="00622DDA">
      <w:pPr>
        <w:pStyle w:val="HTMLPreformatted"/>
        <w:ind w:right="1440"/>
        <w:jc w:val="both"/>
        <w:rPr>
          <w:rStyle w:val="moz-txt-citetags"/>
          <w:rFonts w:ascii="Times New Roman" w:hAnsi="Times New Roman" w:cs="Times New Roman"/>
          <w:sz w:val="24"/>
        </w:rPr>
      </w:pPr>
    </w:p>
    <w:p w:rsidR="00622DDA" w:rsidRDefault="00A92041">
      <w:pPr>
        <w:jc w:val="both"/>
      </w:pPr>
      <w:r>
        <w:t>Far</w:t>
      </w:r>
      <w:r w:rsidR="00E47453">
        <w:t xml:space="preserve">iba Zarinebaf: “Women, Patronage, and Charity in Ottoman Istanbul”, in Amira el-Azhary Sonbol, </w:t>
      </w:r>
      <w:r w:rsidR="00E47453">
        <w:rPr>
          <w:i/>
        </w:rPr>
        <w:t>Beyond the Exotic. Women’s History in Islamic Societies</w:t>
      </w:r>
      <w:r w:rsidR="00E47453">
        <w:t xml:space="preserve"> (New York: Syracuse University Press, 2005), 89-101. </w:t>
      </w:r>
    </w:p>
    <w:p w:rsidR="003B73F1" w:rsidRDefault="003B73F1">
      <w:pPr>
        <w:jc w:val="both"/>
      </w:pPr>
    </w:p>
    <w:p w:rsidR="00622DDA" w:rsidRDefault="004D17C5">
      <w:pPr>
        <w:pStyle w:val="WW-HTMLPreformatte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Week 4 </w:t>
      </w:r>
      <w:r w:rsidR="00622DDA">
        <w:rPr>
          <w:rFonts w:ascii="Times New Roman" w:hAnsi="Times New Roman" w:cs="Times New Roman"/>
          <w:b/>
          <w:bCs/>
          <w:sz w:val="24"/>
          <w:lang w:val="tr-TR"/>
        </w:rPr>
        <w:t xml:space="preserve">: </w:t>
      </w:r>
      <w:r w:rsidR="00622DDA">
        <w:rPr>
          <w:rFonts w:ascii="Times New Roman" w:hAnsi="Times New Roman" w:cs="Times New Roman"/>
          <w:b/>
          <w:bCs/>
          <w:sz w:val="24"/>
        </w:rPr>
        <w:t>Orientalists/travellers' views</w:t>
      </w:r>
      <w:r w:rsidR="006B22AD">
        <w:rPr>
          <w:rFonts w:ascii="Times New Roman" w:hAnsi="Times New Roman" w:cs="Times New Roman"/>
          <w:b/>
          <w:bCs/>
          <w:sz w:val="24"/>
        </w:rPr>
        <w:t xml:space="preserve"> of Ottoman women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Lady Mary Montagu : </w:t>
      </w:r>
      <w:r>
        <w:rPr>
          <w:i/>
          <w:iCs/>
          <w:lang w:val="tr-TR"/>
        </w:rPr>
        <w:t>Turkish Embassy</w:t>
      </w:r>
      <w:r>
        <w:rPr>
          <w:lang w:val="tr-TR"/>
        </w:rPr>
        <w:t xml:space="preserve"> Letters (London : Virago Books, 1994), Letters 27, 30-32, 34, 36, 39-41, 46-48.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Meyda Yeğenoğlu : </w:t>
      </w:r>
      <w:r w:rsidR="006274B3">
        <w:rPr>
          <w:rFonts w:ascii="Times New Roman" w:hAnsi="Times New Roman" w:cs="Times New Roman"/>
          <w:i/>
          <w:iCs/>
          <w:sz w:val="24"/>
        </w:rPr>
        <w:t>Colonial Fantasies</w:t>
      </w:r>
      <w:r>
        <w:rPr>
          <w:rFonts w:ascii="Times New Roman" w:hAnsi="Times New Roman" w:cs="Times New Roman"/>
          <w:i/>
          <w:iCs/>
          <w:sz w:val="24"/>
        </w:rPr>
        <w:t xml:space="preserve">: </w:t>
      </w:r>
      <w:r w:rsidR="006274B3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</w:rPr>
        <w:t>T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</w:rPr>
        <w:t xml:space="preserve">owards a feminist reading of Orientalism </w:t>
      </w:r>
      <w:r>
        <w:rPr>
          <w:rFonts w:ascii="Times New Roman" w:hAnsi="Times New Roman" w:cs="Times New Roman"/>
          <w:sz w:val="24"/>
        </w:rPr>
        <w:t xml:space="preserve">(Cambridge UP, 1998), chapter 3 (“Supplementing the Orientalist Lack: European Ladies in the Harem”)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5 </w:t>
      </w:r>
      <w:r w:rsidR="00622DDA">
        <w:rPr>
          <w:b/>
          <w:bCs/>
          <w:lang w:val="tr-TR"/>
        </w:rPr>
        <w:t xml:space="preserve">: Family life, marriage, and divorce during the Ottoman reform </w:t>
      </w:r>
    </w:p>
    <w:p w:rsidR="00622DDA" w:rsidRDefault="00622DDA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                      </w:t>
      </w:r>
      <w:r w:rsidR="006B22AD">
        <w:rPr>
          <w:b/>
          <w:bCs/>
          <w:lang w:val="tr-TR"/>
        </w:rPr>
        <w:t xml:space="preserve">               period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Fanny Davis : </w:t>
      </w:r>
      <w:r>
        <w:rPr>
          <w:i/>
          <w:iCs/>
          <w:lang w:val="tr-TR"/>
        </w:rPr>
        <w:t>The Ottoman Lady. A Social History From 1718 to 1918</w:t>
      </w:r>
      <w:r>
        <w:rPr>
          <w:lang w:val="tr-TR"/>
        </w:rPr>
        <w:t xml:space="preserve"> (New York; Westport, Conn.; London : Greenwood Press, 1986), pp 61-97, 119-129.</w:t>
      </w:r>
    </w:p>
    <w:p w:rsidR="00622DDA" w:rsidRDefault="00622DDA">
      <w:pPr>
        <w:jc w:val="both"/>
        <w:rPr>
          <w:lang w:val="tr-TR"/>
        </w:rPr>
      </w:pPr>
    </w:p>
    <w:p w:rsidR="000316CB" w:rsidRDefault="000316CB">
      <w:pPr>
        <w:jc w:val="both"/>
        <w:rPr>
          <w:lang w:val="tr-TR"/>
        </w:rPr>
      </w:pPr>
      <w:r>
        <w:rPr>
          <w:lang w:val="tr-TR"/>
        </w:rPr>
        <w:t xml:space="preserve">Tuba Demirci: “Family, State and the Blurring of the Public and the Private: Ottoman State and the Emergence of “Marriage Proper” in the Second Half of the Nineteenth Century” (unpublished article) 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>Week 6</w:t>
      </w:r>
      <w:r w:rsidR="00622DDA">
        <w:rPr>
          <w:b/>
          <w:bCs/>
          <w:lang w:val="tr-TR"/>
        </w:rPr>
        <w:t xml:space="preserve"> : Ottoman reform era and state involvement in gender issues: The </w:t>
      </w:r>
    </w:p>
    <w:p w:rsidR="00622DDA" w:rsidRDefault="00622DDA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                                     issue of mat</w:t>
      </w:r>
      <w:r w:rsidR="006B22AD">
        <w:rPr>
          <w:b/>
          <w:bCs/>
          <w:lang w:val="tr-TR"/>
        </w:rPr>
        <w:t>ernality and abortion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rPr>
          <w:lang w:val="tr-TR"/>
        </w:rPr>
      </w:pPr>
      <w:r>
        <w:rPr>
          <w:lang w:val="tr-TR"/>
        </w:rPr>
        <w:t xml:space="preserve">Fanny Davis : </w:t>
      </w:r>
      <w:r>
        <w:rPr>
          <w:i/>
          <w:iCs/>
          <w:lang w:val="tr-TR"/>
        </w:rPr>
        <w:t>The Ottoman Lady. A Social History From 1718 to 1918</w:t>
      </w:r>
      <w:r>
        <w:rPr>
          <w:lang w:val="tr-TR"/>
        </w:rPr>
        <w:t xml:space="preserve"> (New York; Westport, Conn.; London : Greenwood Press, 1986), pp 33-43.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Mervat F. Hatem : “The Professionalization of Health and the Control of Women’s Bodies as Modern Governmentalities in Nineteenth-Century Egypt”, in Madeline C. Zilfi (ed.): </w:t>
      </w:r>
      <w:r>
        <w:rPr>
          <w:i/>
          <w:iCs/>
          <w:lang w:val="tr-TR"/>
        </w:rPr>
        <w:t xml:space="preserve">Women in the Ottoman Empire. Middle Eastern Women in the Early Modern Era </w:t>
      </w:r>
      <w:r>
        <w:rPr>
          <w:lang w:val="tr-TR"/>
        </w:rPr>
        <w:t>(Leiden; New York; Köln : Brill, 1997), pp 66-80.</w:t>
      </w:r>
    </w:p>
    <w:p w:rsidR="00622DDA" w:rsidRDefault="00622DDA">
      <w:pPr>
        <w:jc w:val="both"/>
        <w:rPr>
          <w:lang w:val="tr-TR"/>
        </w:rPr>
      </w:pPr>
    </w:p>
    <w:p w:rsidR="004271CC" w:rsidRDefault="001345CB">
      <w:pPr>
        <w:jc w:val="both"/>
        <w:rPr>
          <w:lang w:val="tr-TR"/>
        </w:rPr>
      </w:pPr>
      <w:r>
        <w:rPr>
          <w:lang w:val="tr-TR"/>
        </w:rPr>
        <w:t xml:space="preserve">Tuba Demirci and Selçuk Akşin Somel: “Control over Feminine Body, Procreation and Public Health: Demography, Bio-Politics and Abortion in the Ottoman Empire </w:t>
      </w:r>
      <w:r w:rsidR="004271CC">
        <w:rPr>
          <w:lang w:val="tr-TR"/>
        </w:rPr>
        <w:t xml:space="preserve">(1789-1908)” </w:t>
      </w:r>
    </w:p>
    <w:p w:rsidR="001345CB" w:rsidRDefault="004271CC">
      <w:pPr>
        <w:jc w:val="both"/>
        <w:rPr>
          <w:lang w:val="tr-TR"/>
        </w:rPr>
      </w:pPr>
      <w:r>
        <w:rPr>
          <w:lang w:val="tr-TR"/>
        </w:rPr>
        <w:t>(</w:t>
      </w:r>
      <w:r w:rsidR="001345CB" w:rsidRPr="001345CB">
        <w:rPr>
          <w:i/>
          <w:lang w:val="tr-TR"/>
        </w:rPr>
        <w:t>Journal of the History of Sexuality</w:t>
      </w:r>
      <w:r>
        <w:rPr>
          <w:lang w:val="tr-TR"/>
        </w:rPr>
        <w:t xml:space="preserve"> Vol.17, September 2008</w:t>
      </w:r>
      <w:r w:rsidR="001345CB">
        <w:rPr>
          <w:lang w:val="tr-TR"/>
        </w:rPr>
        <w:t>)</w:t>
      </w: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                                 </w:t>
      </w: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7 </w:t>
      </w:r>
      <w:r w:rsidR="00622DDA">
        <w:rPr>
          <w:b/>
          <w:bCs/>
          <w:lang w:val="tr-TR"/>
        </w:rPr>
        <w:t>: Government involvemen</w:t>
      </w:r>
      <w:r w:rsidR="006B22AD">
        <w:rPr>
          <w:b/>
          <w:bCs/>
          <w:lang w:val="tr-TR"/>
        </w:rPr>
        <w:t xml:space="preserve">t in female education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lastRenderedPageBreak/>
        <w:t>Berrak Burçak : The Status of the Elite Muslim Women in Istanbul under the Reign of Sultan Abdülhamid II (1876-1908). Unpublished MA Thesis (Ankara : Bilkent University, 1997), 11-13, 23-29, 41-77.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Fanny Davis : </w:t>
      </w:r>
      <w:r>
        <w:rPr>
          <w:i/>
          <w:iCs/>
          <w:lang w:val="tr-TR"/>
        </w:rPr>
        <w:t>The Ottoman Lady. A Social History From 1718 to 1918</w:t>
      </w:r>
      <w:r>
        <w:rPr>
          <w:lang w:val="tr-TR"/>
        </w:rPr>
        <w:t xml:space="preserve"> (New York; Westport, Conn.; London : Greenwood Press, 1986), pp 45-60.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8 </w:t>
      </w:r>
      <w:r w:rsidR="00622DDA">
        <w:rPr>
          <w:b/>
          <w:bCs/>
          <w:lang w:val="tr-TR"/>
        </w:rPr>
        <w:t xml:space="preserve">: The issue of participation of women in public life : Female instructors ; authors of journals ; women as a labor force </w:t>
      </w:r>
    </w:p>
    <w:p w:rsidR="00622DDA" w:rsidRDefault="00622DDA">
      <w:pPr>
        <w:jc w:val="both"/>
        <w:rPr>
          <w:lang w:val="tr-TR"/>
        </w:rPr>
      </w:pPr>
      <w:r>
        <w:rPr>
          <w:b/>
          <w:bCs/>
          <w:lang w:val="tr-TR"/>
        </w:rPr>
        <w:t xml:space="preserve">                                 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Fanny Davis : </w:t>
      </w:r>
      <w:r>
        <w:rPr>
          <w:i/>
          <w:iCs/>
          <w:lang w:val="tr-TR"/>
        </w:rPr>
        <w:t>The Ottoman Lady. A Social History From 1718 to 1918</w:t>
      </w:r>
      <w:r>
        <w:rPr>
          <w:lang w:val="tr-TR"/>
        </w:rPr>
        <w:t xml:space="preserve"> (New York; Westport, Conn.; London : Greenwood Press, 1986), pp 217-229.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Donald Quataert : “Ottoman Women, Households, and Textile Manufacturing, 1800-1914”, in Nikki R.Keddie and Beth Baron (eds.) : </w:t>
      </w:r>
      <w:r>
        <w:rPr>
          <w:i/>
          <w:iCs/>
          <w:lang w:val="tr-TR"/>
        </w:rPr>
        <w:t>Women in Middle Eastern History. Shifting Boundaries in Sex and Gender</w:t>
      </w:r>
      <w:r>
        <w:rPr>
          <w:lang w:val="tr-TR"/>
        </w:rPr>
        <w:t xml:space="preserve"> (New Haven and London : Yale University Press, 1991), 161-176</w:t>
      </w:r>
    </w:p>
    <w:p w:rsidR="00622DDA" w:rsidRDefault="00622DDA">
      <w:pPr>
        <w:jc w:val="both"/>
        <w:rPr>
          <w:lang w:val="tr-TR"/>
        </w:rPr>
      </w:pPr>
    </w:p>
    <w:p w:rsidR="00622DDA" w:rsidRDefault="004D17C5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Week 9 </w:t>
      </w:r>
      <w:r w:rsidR="00622DDA">
        <w:rPr>
          <w:b/>
          <w:bCs/>
          <w:sz w:val="24"/>
        </w:rPr>
        <w:t xml:space="preserve">: Emergence of Women’s Right Movements in the Late 19th and </w:t>
      </w:r>
    </w:p>
    <w:p w:rsidR="00622DDA" w:rsidRDefault="00622DDA">
      <w:pPr>
        <w:pStyle w:val="BodyText"/>
        <w:jc w:val="both"/>
        <w:rPr>
          <w:sz w:val="24"/>
        </w:rPr>
      </w:pPr>
      <w:r>
        <w:rPr>
          <w:b/>
          <w:bCs/>
          <w:sz w:val="24"/>
        </w:rPr>
        <w:t xml:space="preserve">                                   Early 20th Centuries Ottoman Empire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Fanny Davis : </w:t>
      </w:r>
      <w:r>
        <w:rPr>
          <w:i/>
          <w:iCs/>
          <w:lang w:val="tr-TR"/>
        </w:rPr>
        <w:t>The Ottoman Lady. A Social History From 1718 to 1918</w:t>
      </w:r>
      <w:r>
        <w:rPr>
          <w:lang w:val="tr-TR"/>
        </w:rPr>
        <w:t xml:space="preserve"> (New York; Westport, Conn.; London : Greenwood Press, 1986), pp 229-243.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>Aynur Demirdirek : “In Pursuit of the Ottoman Women’s Movement”, in Zehra F.Arat (ed.):</w:t>
      </w:r>
    </w:p>
    <w:p w:rsidR="00622DDA" w:rsidRDefault="00622DDA">
      <w:pPr>
        <w:jc w:val="both"/>
        <w:rPr>
          <w:lang w:val="tr-TR"/>
        </w:rPr>
      </w:pPr>
      <w:r>
        <w:rPr>
          <w:i/>
          <w:iCs/>
          <w:lang w:val="tr-TR"/>
        </w:rPr>
        <w:t>Deconstructing Images of “The Turkish Woman”</w:t>
      </w:r>
      <w:r>
        <w:rPr>
          <w:lang w:val="tr-TR"/>
        </w:rPr>
        <w:t xml:space="preserve"> (New York : St.Martin’s Press, 1998), pp 65-81. </w:t>
      </w: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812F8E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10 </w:t>
      </w:r>
      <w:r w:rsidR="00622DDA">
        <w:rPr>
          <w:b/>
          <w:bCs/>
          <w:lang w:val="tr-TR"/>
        </w:rPr>
        <w:t>: Halide Edib : An Ottoman author,</w:t>
      </w:r>
      <w:r w:rsidR="006B22AD">
        <w:rPr>
          <w:b/>
          <w:bCs/>
          <w:lang w:val="tr-TR"/>
        </w:rPr>
        <w:t xml:space="preserve"> activist, and feminist</w:t>
      </w:r>
      <w:r w:rsidR="00622DDA">
        <w:rPr>
          <w:b/>
          <w:bCs/>
          <w:lang w:val="tr-TR"/>
        </w:rPr>
        <w:t xml:space="preserve">  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B342F5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Edib, Adivar</w:t>
      </w:r>
      <w:r w:rsidR="00622DDA">
        <w:rPr>
          <w:rFonts w:ascii="Times New Roman" w:hAnsi="Times New Roman" w:cs="Times New Roman"/>
          <w:sz w:val="24"/>
        </w:rPr>
        <w:t xml:space="preserve">: “The Occupation of Smyrna and the Internal Upheaval”, from </w:t>
      </w:r>
      <w:r w:rsidR="00622DDA">
        <w:rPr>
          <w:rFonts w:ascii="Times New Roman" w:hAnsi="Times New Roman" w:cs="Times New Roman"/>
          <w:i/>
          <w:iCs/>
          <w:sz w:val="24"/>
        </w:rPr>
        <w:t xml:space="preserve">The Turkish Ordeal </w:t>
      </w:r>
      <w:r w:rsidR="00622DDA">
        <w:rPr>
          <w:rFonts w:ascii="Times New Roman" w:hAnsi="Times New Roman" w:cs="Times New Roman"/>
          <w:sz w:val="24"/>
        </w:rPr>
        <w:t>(New York &amp; London: The Century Co., 1928), pp 19-50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B342F5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Hulya Adak</w:t>
      </w:r>
      <w:r w:rsidR="00622DDA">
        <w:rPr>
          <w:rFonts w:ascii="Times New Roman" w:hAnsi="Times New Roman" w:cs="Times New Roman"/>
          <w:sz w:val="24"/>
        </w:rPr>
        <w:t>: “National Myths and Self-Narrations: Mustafa Kemal's Nutuk and Halide Edib's Memoirs and The Turkish Ordeal" in Irzik, Sibel and Guven Guzeldere, eds. Special edition of</w:t>
      </w:r>
      <w:r w:rsidR="00622DDA">
        <w:rPr>
          <w:rFonts w:ascii="Times New Roman" w:hAnsi="Times New Roman" w:cs="Times New Roman"/>
          <w:i/>
          <w:iCs/>
          <w:sz w:val="24"/>
        </w:rPr>
        <w:t xml:space="preserve"> The South Atlantic Quarterly: Relocating the Fault Lines: </w:t>
      </w:r>
      <w:smartTag w:uri="urn:schemas-microsoft-com:office:smarttags" w:element="place">
        <w:smartTag w:uri="urn:schemas-microsoft-com:office:smarttags" w:element="country-region">
          <w:r w:rsidR="00622DDA">
            <w:rPr>
              <w:rFonts w:ascii="Times New Roman" w:hAnsi="Times New Roman" w:cs="Times New Roman"/>
              <w:i/>
              <w:iCs/>
              <w:sz w:val="24"/>
            </w:rPr>
            <w:t>Turkey</w:t>
          </w:r>
        </w:smartTag>
      </w:smartTag>
      <w:r w:rsidR="00622DDA">
        <w:rPr>
          <w:rFonts w:ascii="Times New Roman" w:hAnsi="Times New Roman" w:cs="Times New Roman"/>
          <w:i/>
          <w:iCs/>
          <w:sz w:val="24"/>
        </w:rPr>
        <w:t xml:space="preserve"> beyond the East-West Divide.</w:t>
      </w:r>
      <w:r w:rsidR="00622DDA">
        <w:rPr>
          <w:rFonts w:ascii="Times New Roman" w:hAnsi="Times New Roman" w:cs="Times New Roman"/>
          <w:sz w:val="24"/>
        </w:rPr>
        <w:t xml:space="preserve"> Vol. 102 (2/3) (</w:t>
      </w:r>
      <w:smartTag w:uri="urn:schemas-microsoft-com:office:smarttags" w:element="City">
        <w:smartTag w:uri="urn:schemas-microsoft-com:office:smarttags" w:element="place">
          <w:r w:rsidR="00622DDA">
            <w:rPr>
              <w:rFonts w:ascii="Times New Roman" w:hAnsi="Times New Roman" w:cs="Times New Roman"/>
              <w:sz w:val="24"/>
            </w:rPr>
            <w:t>Durham</w:t>
          </w:r>
        </w:smartTag>
      </w:smartTag>
      <w:r w:rsidR="00622DDA">
        <w:rPr>
          <w:rFonts w:ascii="Times New Roman" w:hAnsi="Times New Roman" w:cs="Times New Roman"/>
          <w:sz w:val="24"/>
        </w:rPr>
        <w:t>: Duke University Press, 2003), pp 509-529.</w:t>
      </w:r>
    </w:p>
    <w:p w:rsidR="00622DDA" w:rsidRDefault="00622DDA">
      <w:pPr>
        <w:pStyle w:val="Index"/>
        <w:suppressLineNumbers w:val="0"/>
        <w:jc w:val="both"/>
        <w:rPr>
          <w:rFonts w:cs="Times New Roman"/>
          <w:lang w:val="tr-TR"/>
        </w:rPr>
      </w:pP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F30170">
      <w:pPr>
        <w:jc w:val="both"/>
        <w:rPr>
          <w:lang w:val="tr-TR"/>
        </w:rPr>
      </w:pPr>
      <w:r>
        <w:rPr>
          <w:b/>
          <w:bCs/>
          <w:lang w:val="tr-TR"/>
        </w:rPr>
        <w:t>W</w:t>
      </w:r>
      <w:r w:rsidR="004D17C5">
        <w:rPr>
          <w:b/>
          <w:bCs/>
          <w:lang w:val="tr-TR"/>
        </w:rPr>
        <w:t xml:space="preserve">eek 11 </w:t>
      </w:r>
      <w:r w:rsidR="00622DDA">
        <w:rPr>
          <w:b/>
          <w:bCs/>
          <w:lang w:val="tr-TR"/>
        </w:rPr>
        <w:t xml:space="preserve">: </w:t>
      </w:r>
      <w:r w:rsidR="00C93C02">
        <w:rPr>
          <w:b/>
          <w:bCs/>
          <w:lang w:val="tr-TR"/>
        </w:rPr>
        <w:t xml:space="preserve">Non-Muslim Women inthe Ottoman Empire </w:t>
      </w:r>
    </w:p>
    <w:p w:rsidR="00622DDA" w:rsidRDefault="00622DDA">
      <w:pPr>
        <w:jc w:val="both"/>
        <w:rPr>
          <w:lang w:val="tr-TR"/>
        </w:rPr>
      </w:pPr>
    </w:p>
    <w:p w:rsidR="001345CB" w:rsidRDefault="008F1558">
      <w:pPr>
        <w:jc w:val="both"/>
        <w:rPr>
          <w:lang w:val="tr-TR"/>
        </w:rPr>
      </w:pPr>
      <w:r>
        <w:rPr>
          <w:lang w:val="tr-TR"/>
        </w:rPr>
        <w:t xml:space="preserve">Haris Exertzoglou: “The Cultural Uses of Consumption: Negotiating Class, Gender, and Nation in the Ottoman Urban Centers During the 19th Century”, </w:t>
      </w:r>
      <w:r>
        <w:rPr>
          <w:i/>
          <w:lang w:val="tr-TR"/>
        </w:rPr>
        <w:t>Int.J.Middle East Stud.</w:t>
      </w:r>
      <w:r>
        <w:rPr>
          <w:lang w:val="tr-TR"/>
        </w:rPr>
        <w:t xml:space="preserve"> 35 (2003), 77-101.</w:t>
      </w:r>
    </w:p>
    <w:p w:rsidR="008F1558" w:rsidRDefault="008F1558">
      <w:pPr>
        <w:jc w:val="both"/>
        <w:rPr>
          <w:lang w:val="tr-TR"/>
        </w:rPr>
      </w:pPr>
    </w:p>
    <w:p w:rsidR="00F261A1" w:rsidRDefault="00D76E4C">
      <w:pPr>
        <w:jc w:val="both"/>
        <w:rPr>
          <w:lang w:val="tr-TR"/>
        </w:rPr>
      </w:pPr>
      <w:r>
        <w:rPr>
          <w:lang w:val="tr-TR"/>
        </w:rPr>
        <w:t xml:space="preserve">Dobrinka Parousheva: “The Challenge of Change: Bulgarian Women in Late 19th and Early 20th Century”, </w:t>
      </w:r>
      <w:r w:rsidRPr="00F261A1">
        <w:rPr>
          <w:i/>
          <w:lang w:val="tr-TR"/>
        </w:rPr>
        <w:t>Études balkaniques</w:t>
      </w:r>
      <w:r>
        <w:rPr>
          <w:lang w:val="tr-TR"/>
        </w:rPr>
        <w:t xml:space="preserve"> 3-4 (1998), 48-66.</w:t>
      </w:r>
    </w:p>
    <w:p w:rsidR="006B22AD" w:rsidRDefault="006B22AD">
      <w:pPr>
        <w:jc w:val="both"/>
        <w:rPr>
          <w:lang w:val="tr-TR"/>
        </w:rPr>
      </w:pPr>
    </w:p>
    <w:p w:rsidR="008F1558" w:rsidRDefault="00F261A1">
      <w:pPr>
        <w:jc w:val="both"/>
        <w:rPr>
          <w:lang w:val="tr-TR"/>
        </w:rPr>
      </w:pPr>
      <w:r>
        <w:rPr>
          <w:lang w:val="tr-TR"/>
        </w:rPr>
        <w:t xml:space="preserve">Amnon Cohen: “A Tale of Two Women”, Avigdor Levy (ed.), </w:t>
      </w:r>
      <w:r>
        <w:rPr>
          <w:i/>
          <w:lang w:val="tr-TR"/>
        </w:rPr>
        <w:t>Jews, Turks, Ottomans. A Shared History, Fifteenth Through the Twentieth Century</w:t>
      </w:r>
      <w:r>
        <w:rPr>
          <w:lang w:val="tr-TR"/>
        </w:rPr>
        <w:t xml:space="preserve"> (Syracuse, NY: Syracuse University Press, 2002), 119-126.</w:t>
      </w:r>
    </w:p>
    <w:p w:rsidR="0060157D" w:rsidRDefault="0060157D">
      <w:pPr>
        <w:jc w:val="both"/>
        <w:rPr>
          <w:lang w:val="tr-TR"/>
        </w:rPr>
      </w:pPr>
    </w:p>
    <w:p w:rsidR="0060157D" w:rsidRPr="00F261A1" w:rsidRDefault="0060157D">
      <w:pPr>
        <w:jc w:val="both"/>
        <w:rPr>
          <w:lang w:val="tr-TR"/>
        </w:rPr>
      </w:pPr>
      <w:r>
        <w:rPr>
          <w:lang w:val="tr-TR"/>
        </w:rPr>
        <w:t xml:space="preserve">Rachel Simon: “Jewish Female Education in the Ottoman Empire, 1840-1914”, Avigdor Levy (ed.), </w:t>
      </w:r>
      <w:r>
        <w:rPr>
          <w:i/>
          <w:lang w:val="tr-TR"/>
        </w:rPr>
        <w:t>Jews, Turks, Ottomans. A Shared History, Fifteenth Through the Twentieth Century</w:t>
      </w:r>
      <w:r>
        <w:rPr>
          <w:lang w:val="tr-TR"/>
        </w:rPr>
        <w:t xml:space="preserve"> (Syracuse, NY: Syracuse University Press, 2002), 127-152.</w:t>
      </w:r>
    </w:p>
    <w:p w:rsidR="00622DDA" w:rsidRDefault="00622DDA">
      <w:pPr>
        <w:jc w:val="both"/>
        <w:rPr>
          <w:b/>
          <w:bCs/>
          <w:lang w:val="tr-TR"/>
        </w:rPr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12 </w:t>
      </w:r>
      <w:r w:rsidR="00622DDA">
        <w:rPr>
          <w:b/>
          <w:bCs/>
          <w:lang w:val="tr-TR"/>
        </w:rPr>
        <w:t xml:space="preserve">: </w:t>
      </w:r>
      <w:r w:rsidR="00622DDA">
        <w:rPr>
          <w:b/>
          <w:bCs/>
        </w:rPr>
        <w:t>Women and the Na</w:t>
      </w:r>
      <w:r w:rsidR="006B22AD">
        <w:rPr>
          <w:b/>
          <w:bCs/>
        </w:rPr>
        <w:t>tion in Early Republican Period</w:t>
      </w:r>
      <w:r w:rsidR="00622DDA">
        <w:rPr>
          <w:b/>
          <w:bCs/>
          <w:lang w:val="tr-TR"/>
        </w:rPr>
        <w:t xml:space="preserve">  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t xml:space="preserve">Yeşim Arat : “The Project of Modernity and Women in </w:t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 xml:space="preserve">”, in S. Bozdoğan &amp; R. Kasaba, eds., </w:t>
      </w:r>
      <w:r>
        <w:rPr>
          <w:i/>
          <w:iCs/>
        </w:rPr>
        <w:t>Rethinking Modernity and National Identity in Turkey</w:t>
      </w:r>
      <w:r>
        <w:t xml:space="preserve"> (Seattle and London: University of Washington Press, 1997), pp.95-113. (available on electronic reserve under ALTINAY, CULT 291)</w:t>
      </w:r>
    </w:p>
    <w:p w:rsidR="00622DDA" w:rsidRDefault="00622DDA">
      <w:pPr>
        <w:jc w:val="both"/>
        <w:rPr>
          <w:lang w:val="tr-TR"/>
        </w:rPr>
      </w:pPr>
    </w:p>
    <w:p w:rsidR="00622DDA" w:rsidRDefault="00622DDA">
      <w:pPr>
        <w:jc w:val="both"/>
        <w:rPr>
          <w:lang w:val="tr-TR"/>
        </w:rPr>
      </w:pPr>
      <w:r>
        <w:rPr>
          <w:lang w:val="tr-TR"/>
        </w:rPr>
        <w:t xml:space="preserve">Ayse Gul Altinay : </w:t>
      </w:r>
      <w:r>
        <w:rPr>
          <w:i/>
          <w:iCs/>
          <w:lang w:val="tr-TR"/>
        </w:rPr>
        <w:t>The Myth of the Military Nation. Militarism, Gender, and Education in Turkey</w:t>
      </w:r>
      <w:r>
        <w:rPr>
          <w:lang w:val="tr-TR"/>
        </w:rPr>
        <w:t xml:space="preserve"> (New York; Houndsmills, England: Palgrave-Macmillan, 2004), pp 33-58.</w:t>
      </w:r>
    </w:p>
    <w:p w:rsidR="00622DDA" w:rsidRDefault="00622DDA">
      <w:pPr>
        <w:jc w:val="both"/>
      </w:pPr>
    </w:p>
    <w:p w:rsidR="00622DDA" w:rsidRDefault="00622DDA">
      <w:pPr>
        <w:jc w:val="both"/>
      </w:pPr>
    </w:p>
    <w:p w:rsidR="00622DDA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13 </w:t>
      </w:r>
      <w:r w:rsidR="00622DDA">
        <w:rPr>
          <w:b/>
          <w:bCs/>
          <w:lang w:val="tr-TR"/>
        </w:rPr>
        <w:t xml:space="preserve">: </w:t>
      </w:r>
      <w:r w:rsidR="00DA04E8">
        <w:rPr>
          <w:b/>
          <w:bCs/>
          <w:lang w:val="tr-TR"/>
        </w:rPr>
        <w:t>Present State of Women and Feminism in Turkey</w:t>
      </w:r>
    </w:p>
    <w:p w:rsidR="00551F87" w:rsidRDefault="00551F87">
      <w:pPr>
        <w:jc w:val="both"/>
        <w:rPr>
          <w:b/>
          <w:bCs/>
          <w:lang w:val="tr-TR"/>
        </w:rPr>
      </w:pPr>
    </w:p>
    <w:p w:rsidR="00551F87" w:rsidRPr="00BD4A00" w:rsidRDefault="00BD4A00">
      <w:pPr>
        <w:jc w:val="both"/>
        <w:rPr>
          <w:bCs/>
          <w:lang w:val="tr-TR"/>
        </w:rPr>
      </w:pPr>
      <w:r>
        <w:rPr>
          <w:bCs/>
          <w:lang w:val="tr-TR"/>
        </w:rPr>
        <w:t xml:space="preserve">Cenk Özbay ve Ayşecan Terzioğlu (derl.): </w:t>
      </w:r>
      <w:r>
        <w:rPr>
          <w:bCs/>
          <w:i/>
          <w:lang w:val="tr-TR"/>
        </w:rPr>
        <w:t xml:space="preserve">Türkiye’de Cinsiyet Kültürleri. Dicle Koğacıoğlu Kitabı </w:t>
      </w:r>
      <w:r>
        <w:rPr>
          <w:bCs/>
          <w:lang w:val="tr-TR"/>
        </w:rPr>
        <w:t xml:space="preserve">(İstanbul: İletişim Yayınları, 2019). </w:t>
      </w:r>
    </w:p>
    <w:p w:rsidR="00BD4A00" w:rsidRDefault="00BD4A00">
      <w:pPr>
        <w:jc w:val="both"/>
        <w:rPr>
          <w:b/>
          <w:bCs/>
          <w:lang w:val="tr-TR"/>
        </w:rPr>
      </w:pPr>
    </w:p>
    <w:p w:rsidR="00551F87" w:rsidRDefault="004D17C5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Week 14 </w:t>
      </w:r>
      <w:r w:rsidR="00551F87">
        <w:rPr>
          <w:b/>
          <w:bCs/>
          <w:lang w:val="tr-TR"/>
        </w:rPr>
        <w:t>:</w:t>
      </w:r>
      <w:r w:rsidR="00C93C02">
        <w:rPr>
          <w:b/>
          <w:bCs/>
          <w:lang w:val="tr-TR"/>
        </w:rPr>
        <w:t xml:space="preserve"> </w:t>
      </w:r>
      <w:r w:rsidR="00DA04E8">
        <w:rPr>
          <w:b/>
          <w:bCs/>
          <w:lang w:val="tr-TR"/>
        </w:rPr>
        <w:t>Presentations</w:t>
      </w:r>
    </w:p>
    <w:sectPr w:rsidR="00551F87" w:rsidSect="009958E9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10" w:rsidRDefault="002E7310">
      <w:r>
        <w:separator/>
      </w:r>
    </w:p>
  </w:endnote>
  <w:endnote w:type="continuationSeparator" w:id="0">
    <w:p w:rsidR="002E7310" w:rsidRDefault="002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E8" w:rsidRDefault="00995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4E8" w:rsidRDefault="00DA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E8" w:rsidRDefault="00995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4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4B3">
      <w:rPr>
        <w:rStyle w:val="PageNumber"/>
        <w:noProof/>
      </w:rPr>
      <w:t>2</w:t>
    </w:r>
    <w:r>
      <w:rPr>
        <w:rStyle w:val="PageNumber"/>
      </w:rPr>
      <w:fldChar w:fldCharType="end"/>
    </w:r>
  </w:p>
  <w:p w:rsidR="00DA04E8" w:rsidRDefault="00DA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10" w:rsidRDefault="002E7310">
      <w:r>
        <w:separator/>
      </w:r>
    </w:p>
  </w:footnote>
  <w:footnote w:type="continuationSeparator" w:id="0">
    <w:p w:rsidR="002E7310" w:rsidRDefault="002E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18DE"/>
    <w:rsid w:val="000316CB"/>
    <w:rsid w:val="000B37D4"/>
    <w:rsid w:val="000C253C"/>
    <w:rsid w:val="001345CB"/>
    <w:rsid w:val="001B0E1A"/>
    <w:rsid w:val="001E75E8"/>
    <w:rsid w:val="002038FC"/>
    <w:rsid w:val="002174FD"/>
    <w:rsid w:val="002314CB"/>
    <w:rsid w:val="002339DF"/>
    <w:rsid w:val="00253CC0"/>
    <w:rsid w:val="00272FA6"/>
    <w:rsid w:val="002E460D"/>
    <w:rsid w:val="002E61C3"/>
    <w:rsid w:val="002E651E"/>
    <w:rsid w:val="002E7310"/>
    <w:rsid w:val="002E7C66"/>
    <w:rsid w:val="00316A5A"/>
    <w:rsid w:val="003251ED"/>
    <w:rsid w:val="003974E7"/>
    <w:rsid w:val="003B73F1"/>
    <w:rsid w:val="003E774C"/>
    <w:rsid w:val="004271CC"/>
    <w:rsid w:val="00452D07"/>
    <w:rsid w:val="004933D7"/>
    <w:rsid w:val="004D17C5"/>
    <w:rsid w:val="004D6B3F"/>
    <w:rsid w:val="005001B3"/>
    <w:rsid w:val="00503E9D"/>
    <w:rsid w:val="005102CE"/>
    <w:rsid w:val="0054104D"/>
    <w:rsid w:val="00543999"/>
    <w:rsid w:val="00551F87"/>
    <w:rsid w:val="00581458"/>
    <w:rsid w:val="005A55E1"/>
    <w:rsid w:val="00600F36"/>
    <w:rsid w:val="0060157D"/>
    <w:rsid w:val="00610494"/>
    <w:rsid w:val="00622DDA"/>
    <w:rsid w:val="006274B3"/>
    <w:rsid w:val="006B22AD"/>
    <w:rsid w:val="006E2C26"/>
    <w:rsid w:val="0072682B"/>
    <w:rsid w:val="007655C3"/>
    <w:rsid w:val="00794D95"/>
    <w:rsid w:val="00812F8E"/>
    <w:rsid w:val="00862BF2"/>
    <w:rsid w:val="008A382A"/>
    <w:rsid w:val="008D7AD7"/>
    <w:rsid w:val="008F1558"/>
    <w:rsid w:val="008F18DE"/>
    <w:rsid w:val="008F22B9"/>
    <w:rsid w:val="008F3B4F"/>
    <w:rsid w:val="00926146"/>
    <w:rsid w:val="00933453"/>
    <w:rsid w:val="009958E9"/>
    <w:rsid w:val="009A2510"/>
    <w:rsid w:val="00A62A43"/>
    <w:rsid w:val="00A81253"/>
    <w:rsid w:val="00A92041"/>
    <w:rsid w:val="00B13C15"/>
    <w:rsid w:val="00B342F5"/>
    <w:rsid w:val="00B53EBC"/>
    <w:rsid w:val="00BA75C9"/>
    <w:rsid w:val="00BD4A00"/>
    <w:rsid w:val="00C23A77"/>
    <w:rsid w:val="00C667F2"/>
    <w:rsid w:val="00C93C02"/>
    <w:rsid w:val="00CE213D"/>
    <w:rsid w:val="00D359E9"/>
    <w:rsid w:val="00D44DA0"/>
    <w:rsid w:val="00D64949"/>
    <w:rsid w:val="00D76E4C"/>
    <w:rsid w:val="00DA04E8"/>
    <w:rsid w:val="00E25465"/>
    <w:rsid w:val="00E47453"/>
    <w:rsid w:val="00ED47D2"/>
    <w:rsid w:val="00EE691B"/>
    <w:rsid w:val="00F261A1"/>
    <w:rsid w:val="00F26B63"/>
    <w:rsid w:val="00F30170"/>
    <w:rsid w:val="00F56A8E"/>
    <w:rsid w:val="00F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77738858"/>
  <w15:docId w15:val="{21EDD92B-1D8D-4B5B-87A9-79110D63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958E9"/>
    <w:pPr>
      <w:keepNext/>
      <w:numPr>
        <w:numId w:val="1"/>
      </w:numPr>
      <w:outlineLvl w:val="0"/>
    </w:pPr>
    <w:rPr>
      <w:sz w:val="32"/>
      <w:lang w:val="tr-TR"/>
    </w:rPr>
  </w:style>
  <w:style w:type="paragraph" w:styleId="Heading2">
    <w:name w:val="heading 2"/>
    <w:basedOn w:val="Normal"/>
    <w:next w:val="Normal"/>
    <w:qFormat/>
    <w:rsid w:val="009958E9"/>
    <w:pPr>
      <w:keepNext/>
      <w:jc w:val="both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rsid w:val="009958E9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958E9"/>
  </w:style>
  <w:style w:type="character" w:customStyle="1" w:styleId="WW-DefaultParagraphFont">
    <w:name w:val="WW-Default Paragraph Font"/>
    <w:rsid w:val="009958E9"/>
  </w:style>
  <w:style w:type="paragraph" w:styleId="BodyText">
    <w:name w:val="Body Text"/>
    <w:basedOn w:val="Normal"/>
    <w:rsid w:val="009958E9"/>
    <w:rPr>
      <w:sz w:val="32"/>
      <w:lang w:val="tr-TR"/>
    </w:rPr>
  </w:style>
  <w:style w:type="paragraph" w:styleId="List">
    <w:name w:val="List"/>
    <w:basedOn w:val="BodyText"/>
    <w:rsid w:val="009958E9"/>
    <w:rPr>
      <w:rFonts w:cs="Tahoma"/>
    </w:rPr>
  </w:style>
  <w:style w:type="paragraph" w:styleId="Caption">
    <w:name w:val="caption"/>
    <w:basedOn w:val="Normal"/>
    <w:qFormat/>
    <w:rsid w:val="009958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958E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958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TMLPreformatted">
    <w:name w:val="WW-HTML Preformatted"/>
    <w:basedOn w:val="Normal"/>
    <w:rsid w:val="00995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TMLPreformatted">
    <w:name w:val="HTML Preformatted"/>
    <w:basedOn w:val="Normal"/>
    <w:rsid w:val="00995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moz-txt-citetags">
    <w:name w:val="moz-txt-citetags"/>
    <w:basedOn w:val="DefaultParagraphFont"/>
    <w:rsid w:val="009958E9"/>
  </w:style>
  <w:style w:type="paragraph" w:styleId="Footer">
    <w:name w:val="footer"/>
    <w:basedOn w:val="Normal"/>
    <w:rsid w:val="009958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58E9"/>
  </w:style>
  <w:style w:type="character" w:styleId="Strong">
    <w:name w:val="Strong"/>
    <w:basedOn w:val="DefaultParagraphFont"/>
    <w:qFormat/>
    <w:rsid w:val="00995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Syllabus for the course entitled</vt:lpstr>
    </vt:vector>
  </TitlesOfParts>
  <Company>TOSHIBA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Syllabus for the course entitled</dc:title>
  <dc:creator>somel</dc:creator>
  <cp:lastModifiedBy>suuser</cp:lastModifiedBy>
  <cp:revision>6</cp:revision>
  <cp:lastPrinted>2013-01-29T12:17:00Z</cp:lastPrinted>
  <dcterms:created xsi:type="dcterms:W3CDTF">2019-09-05T12:27:00Z</dcterms:created>
  <dcterms:modified xsi:type="dcterms:W3CDTF">2022-09-21T14:40:00Z</dcterms:modified>
</cp:coreProperties>
</file>